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48A42CE4">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广东江门幼儿师范高等专科学校</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共享洗衣机运营项目采购文件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2026年4月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194D63AC">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广东江门幼儿师范高等专科学校共享洗衣机运营项目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共享洗衣机运营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JMYZ-FW-2026006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详见采购需求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服务期为3年，自合同签订之日起计算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参加采购活动前3年内，在经营活动中没有重大违法记录、无重大卫生安全事故及服务纠纷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AF90930">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3）供应商必须提供共享洗衣设备运营相关资质。</w:t>
      </w:r>
    </w:p>
    <w:p w14:paraId="47E6D61E">
      <w:pPr>
        <w:widowControl/>
        <w:shd w:val="clear" w:color="auto" w:fill="auto"/>
        <w:spacing w:line="360" w:lineRule="auto"/>
        <w:ind w:firstLine="482"/>
        <w:jc w:val="left"/>
        <w:rPr>
          <w:rFonts w:hint="eastAsia" w:ascii="宋体" w:hAnsi="宋体" w:eastAsia="宋体"/>
          <w:bCs/>
          <w:kern w:val="0"/>
          <w:sz w:val="24"/>
          <w:highlight w:val="none"/>
          <w:lang w:val="en-US" w:eastAsia="zh-CN"/>
        </w:rPr>
      </w:pPr>
      <w:r>
        <w:rPr>
          <w:rFonts w:hint="eastAsia" w:ascii="宋体" w:hAnsi="宋体"/>
          <w:bCs/>
          <w:kern w:val="0"/>
          <w:sz w:val="24"/>
          <w:highlight w:val="none"/>
          <w:lang w:val="en-US" w:eastAsia="zh-CN"/>
        </w:rPr>
        <w:t>4）</w:t>
      </w:r>
      <w:r>
        <w:rPr>
          <w:rFonts w:hint="eastAsia" w:ascii="宋体" w:hAnsi="宋体" w:eastAsia="宋体" w:cs="宋体"/>
          <w:sz w:val="24"/>
          <w:szCs w:val="24"/>
          <w:highlight w:val="none"/>
        </w:rPr>
        <w:t>具有履行合同所必需的设备和专业技术能力（提供证明材料，格式自拟）</w:t>
      </w:r>
      <w:r>
        <w:rPr>
          <w:rFonts w:hint="eastAsia" w:ascii="宋体" w:hAnsi="宋体" w:eastAsia="宋体" w:cs="宋体"/>
          <w:sz w:val="24"/>
          <w:szCs w:val="24"/>
          <w:highlight w:val="none"/>
          <w:lang w:eastAsia="zh-CN"/>
        </w:rPr>
        <w:t>。</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501631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2026年4月28</w:t>
      </w:r>
      <w:bookmarkStart w:id="30" w:name="_GoBack"/>
      <w:bookmarkEnd w:id="30"/>
      <w:r>
        <w:rPr>
          <w:rFonts w:hint="eastAsia" w:ascii="宋体" w:hAnsi="宋体" w:eastAsia="宋体" w:cs="宋体"/>
          <w:color w:val="000000"/>
          <w:kern w:val="0"/>
          <w:sz w:val="24"/>
          <w:szCs w:val="24"/>
          <w:lang w:val="en-US" w:eastAsia="zh-CN" w:bidi="ar"/>
        </w:rPr>
        <w:t>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0D2D1A0E">
      <w:pPr>
        <w:jc w:val="both"/>
        <w:rPr>
          <w:rFonts w:hint="eastAsia" w:ascii="方正公文小标宋" w:hAnsi="方正公文小标宋" w:eastAsia="方正公文小标宋" w:cs="方正公文小标宋"/>
          <w:b/>
          <w:bCs/>
          <w:sz w:val="44"/>
          <w:szCs w:val="44"/>
          <w:lang w:eastAsia="zh-CN"/>
        </w:rPr>
      </w:pPr>
    </w:p>
    <w:p w14:paraId="774A3DDD">
      <w:pPr>
        <w:jc w:val="both"/>
        <w:rPr>
          <w:rFonts w:hint="eastAsia" w:ascii="方正公文小标宋" w:hAnsi="方正公文小标宋" w:eastAsia="方正公文小标宋" w:cs="方正公文小标宋"/>
          <w:b/>
          <w:bCs/>
          <w:sz w:val="44"/>
          <w:szCs w:val="44"/>
          <w:lang w:eastAsia="zh-CN"/>
        </w:rPr>
      </w:pPr>
    </w:p>
    <w:p w14:paraId="579DA46F">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pageBreakBefore w:val="0"/>
        <w:kinsoku w:val="0"/>
        <w:wordWrap/>
        <w:overflowPunct w:val="0"/>
        <w:topLinePunct w:val="0"/>
        <w:bidi w:val="0"/>
        <w:snapToGrid/>
        <w:spacing w:line="560" w:lineRule="exact"/>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pageBreakBefore w:val="0"/>
        <w:kinsoku w:val="0"/>
        <w:wordWrap/>
        <w:overflowPunct w:val="0"/>
        <w:topLinePunct w:val="0"/>
        <w:bidi w:val="0"/>
        <w:snapToGrid/>
        <w:spacing w:line="560" w:lineRule="exact"/>
        <w:ind w:left="0" w:firstLine="480" w:firstLineChars="200"/>
        <w:rPr>
          <w:rFonts w:hint="eastAsia"/>
          <w:color w:val="000000" w:themeColor="text1"/>
          <w:sz w:val="24"/>
          <w:szCs w:val="24"/>
          <w:highlight w:val="none"/>
          <w:lang w:eastAsia="zh-CN"/>
          <w14:textFill>
            <w14:solidFill>
              <w14:schemeClr w14:val="tx1"/>
            </w14:solidFill>
          </w14:textFill>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ascii="宋体" w:hAnsi="宋体"/>
          <w:bCs/>
          <w:color w:val="000000" w:themeColor="text1"/>
          <w:kern w:val="0"/>
          <w:sz w:val="24"/>
          <w:highlight w:val="none"/>
          <w:u w:val="single"/>
          <w:lang w:val="en-US" w:eastAsia="zh-CN"/>
          <w14:textFill>
            <w14:solidFill>
              <w14:schemeClr w14:val="tx1"/>
            </w14:solidFill>
          </w14:textFill>
        </w:rPr>
        <w:t>广东江门幼儿师范高等专科学校共享洗衣机运营项目</w:t>
      </w:r>
    </w:p>
    <w:p w14:paraId="1FEA6DCE">
      <w:pPr>
        <w:pStyle w:val="6"/>
        <w:pageBreakBefore w:val="0"/>
        <w:kinsoku w:val="0"/>
        <w:wordWrap/>
        <w:overflowPunct w:val="0"/>
        <w:topLinePunct w:val="0"/>
        <w:bidi w:val="0"/>
        <w:snapToGrid/>
        <w:spacing w:line="560" w:lineRule="exact"/>
        <w:ind w:left="0" w:firstLine="480" w:firstLineChars="20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2.项目编号：</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Cs/>
          <w:color w:val="000000" w:themeColor="text1"/>
          <w:kern w:val="0"/>
          <w:sz w:val="24"/>
          <w:highlight w:val="none"/>
          <w:u w:val="single"/>
          <w:lang w:val="en-US" w:eastAsia="zh-CN"/>
          <w14:textFill>
            <w14:solidFill>
              <w14:schemeClr w14:val="tx1"/>
            </w14:solidFill>
          </w14:textFill>
        </w:rPr>
        <w:t xml:space="preserve">JMYZ-FW-2026006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p>
    <w:p w14:paraId="0D0C624A">
      <w:pPr>
        <w:pStyle w:val="6"/>
        <w:pageBreakBefore w:val="0"/>
        <w:kinsoku w:val="0"/>
        <w:wordWrap/>
        <w:overflowPunct w:val="0"/>
        <w:topLinePunct w:val="0"/>
        <w:bidi w:val="0"/>
        <w:snapToGrid/>
        <w:spacing w:line="560" w:lineRule="exact"/>
        <w:ind w:left="0" w:firstLine="480" w:firstLineChars="20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3.采购方式：</w:t>
      </w:r>
      <w:r>
        <w:rPr>
          <w:rFonts w:hint="eastAsia"/>
          <w:color w:val="000000" w:themeColor="text1"/>
          <w:sz w:val="24"/>
          <w:szCs w:val="24"/>
          <w:highlight w:val="none"/>
          <w:u w:val="single"/>
          <w:lang w:val="en-US" w:eastAsia="zh-CN"/>
          <w14:textFill>
            <w14:solidFill>
              <w14:schemeClr w14:val="tx1"/>
            </w14:solidFill>
          </w14:textFill>
        </w:rPr>
        <w:t>公开比选 （符合资质的参选单位，且响应投报文件的，按附件《需求书》进行比选。本项目完全响应的，综合择优确认成交单位。）</w:t>
      </w:r>
    </w:p>
    <w:p w14:paraId="0BAE096D">
      <w:pPr>
        <w:pStyle w:val="6"/>
        <w:pageBreakBefore w:val="0"/>
        <w:kinsoku w:val="0"/>
        <w:wordWrap/>
        <w:overflowPunct w:val="0"/>
        <w:topLinePunct w:val="0"/>
        <w:bidi w:val="0"/>
        <w:snapToGrid/>
        <w:spacing w:line="560" w:lineRule="exact"/>
        <w:ind w:left="0" w:firstLine="480" w:firstLineChars="200"/>
        <w:rPr>
          <w:rFonts w:hint="default"/>
          <w:color w:val="auto"/>
          <w:sz w:val="24"/>
          <w:szCs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预算金额：</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Cs/>
          <w:color w:val="000000" w:themeColor="text1"/>
          <w:kern w:val="0"/>
          <w:sz w:val="24"/>
          <w:highlight w:val="none"/>
          <w:u w:val="single"/>
          <w:lang w:val="en-US" w:eastAsia="zh-CN"/>
          <w14:textFill>
            <w14:solidFill>
              <w14:schemeClr w14:val="tx1"/>
            </w14:solidFill>
          </w14:textFill>
        </w:rPr>
        <w:t xml:space="preserve">详见采购需求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08870C8">
      <w:pPr>
        <w:pStyle w:val="6"/>
        <w:pageBreakBefore w:val="0"/>
        <w:kinsoku w:val="0"/>
        <w:wordWrap/>
        <w:overflowPunct w:val="0"/>
        <w:topLinePunct w:val="0"/>
        <w:bidi w:val="0"/>
        <w:snapToGrid/>
        <w:spacing w:line="560" w:lineRule="exact"/>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18073E42">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6DFA1A89">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参加采购活动前3年内，在经营活动中没有重大违法记录、无重大卫生安全事故及服务纠纷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40802DB">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3）供应商必须提供共享洗衣设备运营相关资质。</w:t>
      </w:r>
    </w:p>
    <w:p w14:paraId="1148A03A">
      <w:pPr>
        <w:pageBreakBefore w:val="0"/>
        <w:widowControl/>
        <w:shd w:val="clear" w:color="auto" w:fill="auto"/>
        <w:wordWrap/>
        <w:topLinePunct w:val="0"/>
        <w:bidi w:val="0"/>
        <w:snapToGrid/>
        <w:spacing w:line="560" w:lineRule="exact"/>
        <w:ind w:firstLine="482"/>
        <w:jc w:val="left"/>
        <w:rPr>
          <w:rFonts w:hint="eastAsia" w:ascii="宋体" w:hAnsi="宋体" w:eastAsia="宋体"/>
          <w:bCs/>
          <w:kern w:val="0"/>
          <w:sz w:val="24"/>
          <w:highlight w:val="none"/>
          <w:lang w:val="en-US" w:eastAsia="zh-CN"/>
        </w:rPr>
      </w:pPr>
      <w:r>
        <w:rPr>
          <w:rFonts w:hint="eastAsia" w:ascii="宋体" w:hAnsi="宋体"/>
          <w:bCs/>
          <w:kern w:val="0"/>
          <w:sz w:val="24"/>
          <w:highlight w:val="none"/>
          <w:lang w:val="en-US" w:eastAsia="zh-CN"/>
        </w:rPr>
        <w:t>4）</w:t>
      </w:r>
      <w:r>
        <w:rPr>
          <w:rFonts w:hint="eastAsia" w:ascii="宋体" w:hAnsi="宋体" w:eastAsia="宋体" w:cs="宋体"/>
          <w:sz w:val="24"/>
          <w:szCs w:val="24"/>
          <w:highlight w:val="none"/>
        </w:rPr>
        <w:t>具有履行合同所必需的设备和专业技术能力（提供证明材料，格式自拟）</w:t>
      </w:r>
      <w:r>
        <w:rPr>
          <w:rFonts w:hint="eastAsia" w:ascii="宋体" w:hAnsi="宋体" w:eastAsia="宋体" w:cs="宋体"/>
          <w:sz w:val="24"/>
          <w:szCs w:val="24"/>
          <w:highlight w:val="none"/>
          <w:lang w:eastAsia="zh-CN"/>
        </w:rPr>
        <w:t>。</w:t>
      </w:r>
    </w:p>
    <w:p w14:paraId="538A84B1">
      <w:pPr>
        <w:pStyle w:val="6"/>
        <w:pageBreakBefore w:val="0"/>
        <w:kinsoku w:val="0"/>
        <w:wordWrap/>
        <w:overflowPunct w:val="0"/>
        <w:topLinePunct w:val="0"/>
        <w:bidi w:val="0"/>
        <w:snapToGrid/>
        <w:spacing w:line="560" w:lineRule="exact"/>
        <w:ind w:left="0" w:firstLine="643" w:firstLineChars="200"/>
        <w:rPr>
          <w:rFonts w:hint="eastAsia" w:ascii="宋体" w:hAnsi="宋体" w:eastAsia="宋体" w:cs="宋体"/>
          <w:sz w:val="28"/>
          <w:szCs w:val="28"/>
          <w:highlight w:val="none"/>
        </w:rPr>
      </w:pPr>
      <w:r>
        <w:rPr>
          <w:rFonts w:hint="eastAsia" w:ascii="黑体" w:hAnsi="黑体" w:eastAsia="黑体" w:cs="黑体"/>
          <w:b/>
          <w:bCs/>
          <w:color w:val="auto"/>
          <w:sz w:val="32"/>
          <w:szCs w:val="32"/>
          <w:highlight w:val="none"/>
        </w:rPr>
        <w:t>三、服务内容及要求</w:t>
      </w:r>
    </w:p>
    <w:p w14:paraId="0075E9DB">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（一）投放位置及数量</w:t>
      </w:r>
    </w:p>
    <w:p w14:paraId="54E099DE">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 静苑、慧苑一楼共投放20台、二楼投放20台；</w:t>
      </w:r>
    </w:p>
    <w:p w14:paraId="62654755">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 明苑一楼投放30台，明苑、雅苑六楼共投放20台、十二楼投放20台；</w:t>
      </w:r>
    </w:p>
    <w:p w14:paraId="76CB0FB1">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 投放总数不少于110台。设备需严格按照校方规划的指定位置摆放，不得擅自变更安装点位，若需调整，须提前书面报请学校相关部门审批并获同意后方可实施。</w:t>
      </w:r>
    </w:p>
    <w:p w14:paraId="47F80890">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（二）收费标准</w:t>
      </w:r>
    </w:p>
    <w:p w14:paraId="2D6C4018">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 收费标准：明确收费上限且不得突破，具体如下：</w:t>
      </w:r>
    </w:p>
    <w:p w14:paraId="28E9BB41">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快洗 1.5元/次、标准洗 2.3元/次、大件洗 3.2元/次、净脱水 0.8元/次。</w:t>
      </w:r>
    </w:p>
    <w:p w14:paraId="43E70D1C">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（三）收益及监管方式</w:t>
      </w:r>
    </w:p>
    <w:p w14:paraId="15957FDD">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全部经营收益归服务方所有，同时，服务方须为学校开通共享洗衣机管理系统查看权限，以便学校实时监管设备运行、使用数据等情况，保障服务规范开展。</w:t>
      </w:r>
    </w:p>
    <w:p w14:paraId="771474AD">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（四）费用承担</w:t>
      </w:r>
    </w:p>
    <w:p w14:paraId="0BE200A8">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服务方需自行承担经营期间产生的水费、电费、设备购置与维修费、人员管理费、耗材费等全部相关费用，不得因费用问题降低服务质量或违规调整收费标准；须严格按照学校指定方式做好水电等能耗计量，将相关费用转账至学校账户，按时足额缴纳相关费用。</w:t>
      </w:r>
    </w:p>
    <w:p w14:paraId="7EAAD3F2">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（五）运营与管理</w:t>
      </w:r>
    </w:p>
    <w:p w14:paraId="7D98837A">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 基础运营保障：服务方需保证设备24小时正常运行，建立7×24小时故障快速响应机制，接到设备故障报修后，须在2小时内响应，24小时内完成维修或更换备用设备，确保师生正常使用；制定并公示规范的收费标准、使用流程及售后保障电话，为师生提供清晰的使用指引和及时的售后支持。</w:t>
      </w:r>
    </w:p>
    <w:p w14:paraId="5404A4D8">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 卫生清理与消毒要求（需建立台账）：</w:t>
      </w:r>
    </w:p>
    <w:p w14:paraId="6925B4B2">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日常清洁：每周对洗衣机进水管、出水管、滤网等部件进行1次拆卸清洁，清除残留污垢和毛发。特殊消毒：遇流感、诺如病毒等传染病高发期，或学校发布相关卫生预警通知时，增加消毒频次至每日2次，且消毒剂需更换为针对性更强的专用消毒产品，消毒流程严格按照卫生部门相关标准执行。卫生标准：确保洗衣机无异味、无霉斑、无残留污渍，滚筒内部清洁度达到学校卫生安全标准要求，若因卫生问题引发师生投诉或卫生安全事件，服务方需承担全部责任。</w:t>
      </w:r>
    </w:p>
    <w:p w14:paraId="7ADCD166">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（六）校园合规要求</w:t>
      </w:r>
    </w:p>
    <w:p w14:paraId="39A3B6A8">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服务方需严格遵守学校校园管理、消防安全、卫生安全等相关规定，积极配合校方开展各类日常检查、专项督查及应急处置工作，不得违反学校规章制度开展运营活动。若因违规运营造成学校损失，需承担相应赔偿责任。</w:t>
      </w:r>
    </w:p>
    <w:p w14:paraId="16D5FFA6">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（七）履约保证金</w:t>
      </w:r>
    </w:p>
    <w:p w14:paraId="306E425F">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1.金额：中标方在收到中标通知书后 3 个工作日内，须向学校指定账户缴纳履约保证金，金额为人民币5000元整。</w:t>
      </w:r>
    </w:p>
    <w:p w14:paraId="58A584AB">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2.用途：保证金用于担保中标方严格履行本项目招标需求书及后续正式合同中的各项条款与义务。</w:t>
      </w:r>
    </w:p>
    <w:p w14:paraId="0DAA51FA">
      <w:pPr>
        <w:pageBreakBefore w:val="0"/>
        <w:widowControl/>
        <w:shd w:val="clear" w:color="auto" w:fill="auto"/>
        <w:wordWrap/>
        <w:topLinePunct w:val="0"/>
        <w:bidi w:val="0"/>
        <w:snapToGrid/>
        <w:spacing w:line="560" w:lineRule="exact"/>
        <w:ind w:firstLine="0"/>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 xml:space="preserve">3.退还：服务期内，若中标方无违约行为，合同期满且完成所有交接手续后 30 个工作日内，学校将保证金无息全额退还。若发生违约，学校有权依据合同条款扣除部分或全部保证金作为违约金。不足弥补损失的，可继续向中标方追偿。 </w:t>
      </w:r>
    </w:p>
    <w:p w14:paraId="0C545734">
      <w:pPr>
        <w:pageBreakBefore w:val="0"/>
        <w:widowControl/>
        <w:shd w:val="clear" w:color="auto" w:fill="auto"/>
        <w:wordWrap/>
        <w:topLinePunct w:val="0"/>
        <w:bidi w:val="0"/>
        <w:snapToGrid/>
        <w:spacing w:line="560" w:lineRule="exact"/>
        <w:ind w:firstLine="241" w:firstLineChars="100"/>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（八）资料提交要求</w:t>
      </w:r>
    </w:p>
    <w:p w14:paraId="11A417CE">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意向服务方需按校方要求提交完整的投标资料，包括但不限于营业执照复印件、资质证书、运营方案、投标报价单、消毒方案及保障措施、校园项目案例证明等，所有资料需加盖单位公章，确保真实有效。</w:t>
      </w:r>
    </w:p>
    <w:p w14:paraId="2A8C2C2D">
      <w:pPr>
        <w:pageBreakBefore w:val="0"/>
        <w:widowControl/>
        <w:shd w:val="clear" w:color="auto" w:fill="auto"/>
        <w:wordWrap/>
        <w:topLinePunct w:val="0"/>
        <w:bidi w:val="0"/>
        <w:snapToGrid/>
        <w:spacing w:line="560" w:lineRule="exact"/>
        <w:ind w:firstLine="482"/>
        <w:jc w:val="left"/>
        <w:rPr>
          <w:rFonts w:hint="eastAsia" w:ascii="宋体" w:hAnsi="宋体"/>
          <w:b/>
          <w:bCs w:val="0"/>
          <w:kern w:val="0"/>
          <w:sz w:val="24"/>
          <w:highlight w:val="none"/>
          <w:lang w:val="en-US" w:eastAsia="zh-CN"/>
        </w:rPr>
      </w:pPr>
      <w:r>
        <w:rPr>
          <w:rFonts w:hint="eastAsia" w:ascii="宋体" w:hAnsi="宋体"/>
          <w:b/>
          <w:bCs w:val="0"/>
          <w:kern w:val="0"/>
          <w:sz w:val="24"/>
          <w:highlight w:val="none"/>
          <w:lang w:val="en-US" w:eastAsia="zh-CN"/>
        </w:rPr>
        <w:t>（九）退出机制</w:t>
      </w:r>
    </w:p>
    <w:p w14:paraId="327DE0DC">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1.合同期满退出：合作期满，双方未续签合同的，中标方应在合同终止后15个工作日内，完成所有设备的拆除、清运，并将投放场地恢复至招标前状态。由此产生的拆除、清运及场地恢复费用由中标方承担。</w:t>
      </w:r>
    </w:p>
    <w:p w14:paraId="6C61C719">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中途退出/违约：因服务方自身原因需提前解除合同的，须提前3个月书面通知学校，并按合同约定完成善后工作、设备交接及场地恢复。学校将根据服务实际时长结算相关费用，已缴纳的履约保证金不予退还。服务方若出现下列情形之一，学校有权单方面终止合同，并扣除全部履约保证金：严重违反卫生安全规定，造成恶劣影响或重大安全事故的；连续3次因服务质量问题被师生有效投诉，或未能在投诉后2天内解决问题的；擅自停止服务或中断供应超过24小时，未及时通报并采取补救措施的；擅自变更收费标准、投放点位或转租项目的。</w:t>
      </w:r>
    </w:p>
    <w:p w14:paraId="3D3B1802">
      <w:pPr>
        <w:pageBreakBefore w:val="0"/>
        <w:widowControl/>
        <w:shd w:val="clear" w:color="auto" w:fill="auto"/>
        <w:wordWrap/>
        <w:topLinePunct w:val="0"/>
        <w:bidi w:val="0"/>
        <w:snapToGrid/>
        <w:spacing w:line="560" w:lineRule="exact"/>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3.交接与监管：合同终止或退出前，双方须共同完成设备状态、运营数据、费用结算等方面的交接工作，确保校园服务平稳过渡。</w:t>
      </w:r>
    </w:p>
    <w:p w14:paraId="39B656FF">
      <w:pPr>
        <w:pStyle w:val="3"/>
        <w:pageBreakBefore w:val="0"/>
        <w:wordWrap/>
        <w:topLinePunct w:val="0"/>
        <w:bidi w:val="0"/>
        <w:snapToGrid/>
        <w:spacing w:before="0" w:after="0" w:line="560" w:lineRule="exact"/>
        <w:rPr>
          <w:rFonts w:hint="eastAsia"/>
          <w:lang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1615CD37">
      <w:pPr>
        <w:rPr>
          <w:rFonts w:hint="eastAsia" w:eastAsiaTheme="minorEastAsia"/>
          <w:b w:val="0"/>
          <w:bCs/>
          <w:sz w:val="24"/>
          <w:szCs w:val="24"/>
          <w:highlight w:val="none"/>
          <w:lang w:eastAsia="zh-CN"/>
        </w:rPr>
      </w:pPr>
      <w:r>
        <w:rPr>
          <w:b w:val="0"/>
          <w:bCs/>
          <w:sz w:val="24"/>
          <w:szCs w:val="24"/>
          <w:highlight w:val="none"/>
        </w:rPr>
        <w:t>评标方法</w:t>
      </w:r>
      <w:r>
        <w:rPr>
          <w:rFonts w:hint="eastAsia"/>
          <w:b w:val="0"/>
          <w:bCs/>
          <w:sz w:val="24"/>
          <w:szCs w:val="24"/>
          <w:highlight w:val="none"/>
          <w:lang w:eastAsia="zh-CN"/>
        </w:rPr>
        <w:t>：</w:t>
      </w:r>
      <w:r>
        <w:rPr>
          <w:rFonts w:hint="eastAsia"/>
          <w:sz w:val="24"/>
          <w:szCs w:val="24"/>
          <w:highlight w:val="none"/>
          <w:lang w:eastAsia="zh-CN"/>
        </w:rPr>
        <w:t>本项目采用低价中标评分方法</w:t>
      </w:r>
    </w:p>
    <w:p w14:paraId="6166AB7A">
      <w:pPr>
        <w:rPr>
          <w:rFonts w:hint="eastAsia"/>
          <w:b/>
          <w:sz w:val="32"/>
          <w:szCs w:val="32"/>
          <w:highlight w:val="none"/>
          <w:lang w:val="en-US" w:eastAsia="zh-CN"/>
        </w:rPr>
      </w:pPr>
      <w:r>
        <w:rPr>
          <w:rFonts w:hint="eastAsia"/>
          <w:b/>
          <w:sz w:val="32"/>
          <w:szCs w:val="32"/>
          <w:highlight w:val="none"/>
          <w:lang w:val="en-US" w:eastAsia="zh-CN"/>
        </w:rPr>
        <w:t>二、评审程序</w:t>
      </w:r>
    </w:p>
    <w:p w14:paraId="3A4AE2BC">
      <w:pPr>
        <w:ind w:firstLine="480" w:firstLineChars="200"/>
        <w:rPr>
          <w:rFonts w:hint="eastAsia"/>
          <w:sz w:val="24"/>
          <w:szCs w:val="24"/>
          <w:highlight w:val="none"/>
          <w:lang w:val="en-US" w:eastAsia="zh-CN"/>
        </w:rPr>
      </w:pPr>
      <w:r>
        <w:rPr>
          <w:rFonts w:hint="eastAsia"/>
          <w:sz w:val="24"/>
          <w:szCs w:val="24"/>
          <w:highlight w:val="none"/>
          <w:lang w:val="en-US" w:eastAsia="zh-CN"/>
        </w:rPr>
        <w:t>1.资格性审查</w:t>
      </w:r>
    </w:p>
    <w:p w14:paraId="70DF8EAD">
      <w:pPr>
        <w:ind w:firstLine="480" w:firstLineChars="200"/>
        <w:rPr>
          <w:rFonts w:hint="eastAsia"/>
          <w:sz w:val="24"/>
          <w:szCs w:val="24"/>
          <w:highlight w:val="none"/>
          <w:lang w:val="en-US" w:eastAsia="zh-CN"/>
        </w:rPr>
      </w:pPr>
      <w:r>
        <w:rPr>
          <w:rFonts w:hint="eastAsia"/>
          <w:sz w:val="24"/>
          <w:szCs w:val="24"/>
          <w:highlight w:val="none"/>
          <w:lang w:val="en-US" w:eastAsia="zh-CN"/>
        </w:rPr>
        <w:t>资格性审查。项目开标结束后，采购人应当依法对潜在供应商的资格进行审查，以确定潜在供应商是否具备投标资格。（详见后附表一资格性审查表）</w:t>
      </w:r>
    </w:p>
    <w:p w14:paraId="47D69208">
      <w:pPr>
        <w:ind w:firstLine="480" w:firstLineChars="200"/>
        <w:rPr>
          <w:rFonts w:hint="eastAsia"/>
          <w:sz w:val="24"/>
          <w:szCs w:val="24"/>
          <w:highlight w:val="none"/>
          <w:lang w:val="en-US" w:eastAsia="zh-CN"/>
        </w:rPr>
      </w:pPr>
      <w:r>
        <w:rPr>
          <w:rFonts w:hint="eastAsia"/>
          <w:sz w:val="24"/>
          <w:szCs w:val="24"/>
          <w:highlight w:val="none"/>
          <w:lang w:val="en-US" w:eastAsia="zh-CN"/>
        </w:rPr>
        <w:t>资格性审查凡有其中任意一项未通过的，评审结果为未通过，未通过资格性审查的潜在供应商按无效投标处理。</w:t>
      </w:r>
    </w:p>
    <w:p w14:paraId="4ED98E38">
      <w:pPr>
        <w:ind w:firstLine="480" w:firstLineChars="200"/>
        <w:rPr>
          <w:rFonts w:hint="eastAsia"/>
          <w:sz w:val="24"/>
          <w:szCs w:val="24"/>
          <w:highlight w:val="none"/>
          <w:lang w:val="en-US" w:eastAsia="zh-CN"/>
        </w:rPr>
      </w:pPr>
      <w:r>
        <w:rPr>
          <w:rFonts w:hint="eastAsia"/>
          <w:sz w:val="24"/>
          <w:szCs w:val="24"/>
          <w:highlight w:val="none"/>
          <w:lang w:val="en-US" w:eastAsia="zh-CN"/>
        </w:rPr>
        <w:t>合格潜在供应商不足3家的，不得评标。</w:t>
      </w:r>
    </w:p>
    <w:p w14:paraId="3F357EFB">
      <w:pPr>
        <w:ind w:firstLine="480" w:firstLineChars="200"/>
        <w:rPr>
          <w:rFonts w:hint="eastAsia"/>
          <w:sz w:val="24"/>
          <w:szCs w:val="24"/>
          <w:highlight w:val="none"/>
          <w:lang w:val="en-US" w:eastAsia="zh-CN"/>
        </w:rPr>
      </w:pPr>
      <w:r>
        <w:rPr>
          <w:rFonts w:hint="eastAsia"/>
          <w:sz w:val="24"/>
          <w:szCs w:val="24"/>
          <w:highlight w:val="none"/>
          <w:lang w:val="en-US" w:eastAsia="zh-CN"/>
        </w:rPr>
        <w:t>表一资格性审查表：</w:t>
      </w:r>
    </w:p>
    <w:tbl>
      <w:tblPr>
        <w:tblStyle w:val="12"/>
        <w:tblW w:w="87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7889"/>
      </w:tblGrid>
      <w:tr w14:paraId="7057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890" w:type="dxa"/>
            <w:noWrap w:val="0"/>
          </w:tcPr>
          <w:p w14:paraId="5F408564">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889" w:type="dxa"/>
            <w:noWrap w:val="0"/>
          </w:tcPr>
          <w:p w14:paraId="55ABC6C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资格审查内容</w:t>
            </w:r>
          </w:p>
        </w:tc>
      </w:tr>
      <w:tr w14:paraId="4A583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B58948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89" w:type="dxa"/>
            <w:noWrap w:val="0"/>
            <w:vAlign w:val="center"/>
          </w:tcPr>
          <w:p w14:paraId="0E2F5F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是具有独立承担民事责任能力的在中华人民共和国境内注册的法人或其他组织，参选时提交有效的营业执照（或事业法人登记证等相关证明）副本复印件；分支机构参选的，须提供总公司和分公司营业执照副本复印件，总公司出具给分支机构的授权书。</w:t>
            </w:r>
          </w:p>
        </w:tc>
      </w:tr>
      <w:tr w14:paraId="79C2B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09" w:hRule="atLeast"/>
        </w:trPr>
        <w:tc>
          <w:tcPr>
            <w:tcW w:w="890" w:type="dxa"/>
            <w:noWrap w:val="0"/>
            <w:vAlign w:val="center"/>
          </w:tcPr>
          <w:p w14:paraId="04BB49C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889" w:type="dxa"/>
            <w:noWrap w:val="0"/>
            <w:vAlign w:val="center"/>
          </w:tcPr>
          <w:p w14:paraId="79780C8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3年内，在经营活动中没有重大违法记录、无重大卫生安全事故及服务纠纷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EF87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9" w:hRule="atLeast"/>
        </w:trPr>
        <w:tc>
          <w:tcPr>
            <w:tcW w:w="890" w:type="dxa"/>
            <w:noWrap w:val="0"/>
            <w:vAlign w:val="center"/>
          </w:tcPr>
          <w:p w14:paraId="19E327C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889" w:type="dxa"/>
            <w:noWrap w:val="0"/>
            <w:vAlign w:val="center"/>
          </w:tcPr>
          <w:p w14:paraId="7C8146C3">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必须提供共享洗衣设备运营相关资质</w:t>
            </w:r>
            <w:r>
              <w:rPr>
                <w:rFonts w:hint="eastAsia" w:ascii="宋体" w:hAnsi="宋体" w:eastAsia="宋体" w:cs="宋体"/>
                <w:sz w:val="24"/>
                <w:szCs w:val="24"/>
                <w:highlight w:val="none"/>
                <w:lang w:eastAsia="zh-CN"/>
              </w:rPr>
              <w:t>。</w:t>
            </w:r>
          </w:p>
        </w:tc>
      </w:tr>
      <w:tr w14:paraId="2CA15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890" w:type="dxa"/>
            <w:noWrap w:val="0"/>
            <w:vAlign w:val="center"/>
          </w:tcPr>
          <w:p w14:paraId="738A897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889" w:type="dxa"/>
            <w:noWrap w:val="0"/>
            <w:vAlign w:val="center"/>
          </w:tcPr>
          <w:p w14:paraId="169D941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具有履行合同所必需的设备和专业技术能力（提供证明材料，格式自拟）</w:t>
            </w:r>
          </w:p>
        </w:tc>
      </w:tr>
    </w:tbl>
    <w:p w14:paraId="35DBE47A">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firstLine="542"/>
        <w:rPr>
          <w:rFonts w:hint="eastAsia" w:ascii="仿宋" w:hAnsi="仿宋" w:eastAsia="仿宋" w:cs="仿宋"/>
          <w:sz w:val="28"/>
          <w:szCs w:val="28"/>
        </w:rPr>
      </w:pPr>
      <w:r>
        <w:rPr>
          <w:rStyle w:val="15"/>
          <w:rFonts w:hint="eastAsia" w:ascii="仿宋" w:hAnsi="仿宋" w:eastAsia="仿宋" w:cs="仿宋"/>
          <w:b/>
          <w:bCs/>
          <w:sz w:val="28"/>
          <w:szCs w:val="28"/>
          <w:lang w:val="en-US" w:eastAsia="zh-CN"/>
        </w:rPr>
        <w:t>2.</w:t>
      </w:r>
      <w:r>
        <w:rPr>
          <w:rStyle w:val="15"/>
          <w:rFonts w:hint="eastAsia" w:ascii="仿宋" w:hAnsi="仿宋" w:eastAsia="仿宋" w:cs="仿宋"/>
          <w:b/>
          <w:bCs/>
          <w:sz w:val="28"/>
          <w:szCs w:val="28"/>
        </w:rPr>
        <w:t>评分标准和细则</w:t>
      </w:r>
    </w:p>
    <w:p w14:paraId="533A54C7">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267" w:right="0" w:hanging="57"/>
        <w:jc w:val="both"/>
        <w:rPr>
          <w:rFonts w:hint="eastAsia" w:ascii="仿宋" w:hAnsi="仿宋" w:eastAsia="仿宋" w:cs="仿宋"/>
          <w:sz w:val="28"/>
          <w:szCs w:val="28"/>
        </w:rPr>
      </w:pPr>
      <w:r>
        <w:rPr>
          <w:rStyle w:val="15"/>
          <w:rFonts w:hint="eastAsia" w:ascii="仿宋" w:hAnsi="仿宋" w:eastAsia="仿宋" w:cs="仿宋"/>
          <w:b/>
          <w:bCs/>
          <w:sz w:val="28"/>
          <w:szCs w:val="28"/>
        </w:rPr>
        <w:t>评分因素及分值</w:t>
      </w:r>
    </w:p>
    <w:tbl>
      <w:tblPr>
        <w:tblStyle w:val="12"/>
        <w:tblW w:w="0" w:type="auto"/>
        <w:jc w:val="center"/>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751"/>
        <w:gridCol w:w="3544"/>
        <w:gridCol w:w="4221"/>
      </w:tblGrid>
      <w:tr w14:paraId="58ABA393">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3418EEF5">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44"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14:paraId="196F1552">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22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5DB05FDE">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1CC78A92">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7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2FBE62E">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544"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14:paraId="5353EFD7">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422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82043C3">
            <w:pPr>
              <w:pStyle w:val="11"/>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分</w:t>
            </w:r>
          </w:p>
        </w:tc>
      </w:tr>
    </w:tbl>
    <w:p w14:paraId="70B10311">
      <w:pPr>
        <w:numPr>
          <w:ilvl w:val="0"/>
          <w:numId w:val="0"/>
        </w:numPr>
        <w:jc w:val="both"/>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C1F50CD">
      <w:pPr>
        <w:pStyle w:val="3"/>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2"/>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413314031"/>
      <w:bookmarkStart w:id="2" w:name="_Toc385940898"/>
    </w:p>
    <w:p w14:paraId="4E4D62B1">
      <w:pPr>
        <w:pStyle w:val="2"/>
        <w:numPr>
          <w:ilvl w:val="0"/>
          <w:numId w:val="0"/>
        </w:numPr>
        <w:spacing w:line="360" w:lineRule="auto"/>
        <w:ind w:leftChars="200"/>
        <w:rPr>
          <w:rFonts w:hint="eastAsia" w:ascii="宋体" w:hAnsi="宋体" w:eastAsia="宋体" w:cs="宋体"/>
          <w:b/>
          <w:bCs/>
          <w:color w:val="auto"/>
          <w:sz w:val="44"/>
          <w:szCs w:val="44"/>
        </w:rPr>
      </w:pPr>
    </w:p>
    <w:p w14:paraId="6C6DA017">
      <w:pPr>
        <w:pStyle w:val="2"/>
        <w:numPr>
          <w:ilvl w:val="0"/>
          <w:numId w:val="0"/>
        </w:numPr>
        <w:spacing w:line="360" w:lineRule="auto"/>
        <w:ind w:leftChars="200"/>
        <w:rPr>
          <w:rFonts w:hint="eastAsia" w:ascii="宋体" w:hAnsi="宋体" w:eastAsia="宋体" w:cs="宋体"/>
          <w:b/>
          <w:bCs/>
          <w:color w:val="auto"/>
          <w:sz w:val="44"/>
          <w:szCs w:val="44"/>
        </w:rPr>
      </w:pPr>
    </w:p>
    <w:p w14:paraId="092D7F57">
      <w:pPr>
        <w:pStyle w:val="2"/>
        <w:numPr>
          <w:ilvl w:val="0"/>
          <w:numId w:val="0"/>
        </w:numPr>
        <w:spacing w:line="360" w:lineRule="auto"/>
        <w:ind w:leftChars="200"/>
        <w:rPr>
          <w:rFonts w:hint="eastAsia" w:ascii="宋体" w:hAnsi="宋体" w:eastAsia="宋体" w:cs="宋体"/>
          <w:b/>
          <w:bCs/>
          <w:color w:val="auto"/>
          <w:sz w:val="44"/>
          <w:szCs w:val="44"/>
        </w:rPr>
      </w:pPr>
    </w:p>
    <w:p w14:paraId="4917ACDC">
      <w:pPr>
        <w:pStyle w:val="2"/>
        <w:numPr>
          <w:ilvl w:val="0"/>
          <w:numId w:val="0"/>
        </w:numPr>
        <w:spacing w:line="360" w:lineRule="auto"/>
        <w:ind w:leftChars="200"/>
        <w:rPr>
          <w:rFonts w:hint="eastAsia" w:ascii="宋体" w:hAnsi="宋体" w:eastAsia="宋体" w:cs="宋体"/>
          <w:b/>
          <w:bCs/>
          <w:color w:val="auto"/>
          <w:sz w:val="44"/>
          <w:szCs w:val="44"/>
        </w:rPr>
      </w:pPr>
    </w:p>
    <w:p w14:paraId="12044635">
      <w:pPr>
        <w:pStyle w:val="2"/>
        <w:numPr>
          <w:ilvl w:val="0"/>
          <w:numId w:val="0"/>
        </w:numPr>
        <w:spacing w:line="360" w:lineRule="auto"/>
        <w:ind w:leftChars="200"/>
        <w:rPr>
          <w:rFonts w:hint="eastAsia" w:ascii="宋体" w:hAnsi="宋体" w:eastAsia="宋体" w:cs="宋体"/>
          <w:b/>
          <w:bCs/>
          <w:color w:val="auto"/>
          <w:sz w:val="44"/>
          <w:szCs w:val="44"/>
        </w:rPr>
      </w:pPr>
    </w:p>
    <w:p w14:paraId="4B59B3D5">
      <w:pPr>
        <w:pStyle w:val="2"/>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01DC8931">
      <w:pPr>
        <w:pStyle w:val="6"/>
        <w:numPr>
          <w:ilvl w:val="0"/>
          <w:numId w:val="0"/>
        </w:numPr>
        <w:spacing w:line="360" w:lineRule="auto"/>
        <w:ind w:leftChars="0"/>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eastAsiaTheme="minorEastAsia"/>
          <w:b/>
          <w:bCs/>
          <w:color w:val="auto"/>
          <w:kern w:val="0"/>
          <w:sz w:val="28"/>
          <w:szCs w:val="28"/>
          <w:lang w:val="en-US" w:eastAsia="zh-CN" w:bidi="ar-SA"/>
        </w:rPr>
        <w:t>格式1</w:t>
      </w:r>
      <w:r>
        <w:rPr>
          <w:rFonts w:hint="eastAsia" w:ascii="宋体" w:hAnsi="宋体" w:cs="宋体"/>
          <w:b/>
          <w:bCs/>
          <w:color w:val="auto"/>
          <w:kern w:val="0"/>
          <w:sz w:val="28"/>
          <w:szCs w:val="28"/>
          <w:lang w:val="en-US" w:eastAsia="zh-CN" w:bidi="ar-SA"/>
        </w:rPr>
        <w:t>：</w:t>
      </w:r>
      <w:r>
        <w:rPr>
          <w:rFonts w:hint="eastAsia" w:ascii="宋体" w:hAnsi="宋体" w:cs="宋体"/>
          <w:b/>
          <w:bCs/>
          <w:color w:val="auto"/>
          <w:sz w:val="28"/>
          <w:szCs w:val="28"/>
        </w:rPr>
        <w:t>法人或者其他组织的营业执照等证明文件（适用于法人或其他组织），自然人的身份证明（适用于自然人）；</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0"/>
        </w:numPr>
        <w:spacing w:line="360" w:lineRule="auto"/>
        <w:ind w:left="420" w:leftChars="0" w:hanging="420" w:firstLineChars="0"/>
        <w:outlineLvl w:val="1"/>
        <w:rPr>
          <w:rFonts w:hint="eastAsia" w:ascii="宋体" w:hAnsi="宋体" w:cs="宋体" w:eastAsiaTheme="minorEastAsia"/>
          <w:b/>
          <w:bCs/>
          <w:color w:val="auto"/>
          <w:sz w:val="28"/>
          <w:szCs w:val="28"/>
          <w:lang w:eastAsia="zh-CN"/>
        </w:rPr>
      </w:pPr>
      <w:r>
        <w:rPr>
          <w:rFonts w:hint="eastAsia" w:ascii="宋体" w:hAnsi="宋体" w:cs="宋体" w:eastAsiaTheme="minorEastAsia"/>
          <w:b/>
          <w:bCs/>
          <w:color w:val="auto"/>
          <w:kern w:val="0"/>
          <w:sz w:val="28"/>
          <w:szCs w:val="28"/>
          <w:lang w:val="en-US" w:eastAsia="zh-CN" w:bidi="ar-SA"/>
        </w:rPr>
        <w:t>格式</w:t>
      </w:r>
      <w:r>
        <w:rPr>
          <w:rFonts w:hint="eastAsia" w:ascii="宋体" w:hAnsi="宋体" w:cs="宋体"/>
          <w:b/>
          <w:bCs/>
          <w:color w:val="auto"/>
          <w:kern w:val="0"/>
          <w:sz w:val="28"/>
          <w:szCs w:val="28"/>
          <w:lang w:val="en-US" w:eastAsia="zh-CN" w:bidi="ar-SA"/>
        </w:rPr>
        <w:t>2：</w:t>
      </w: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0604A5EC">
      <w:pPr>
        <w:pStyle w:val="20"/>
        <w:ind w:firstLine="402"/>
        <w:rPr>
          <w:rFonts w:hint="eastAsia" w:ascii="宋体" w:hAnsi="宋体" w:cs="宋体"/>
          <w:b/>
          <w:bCs/>
        </w:rPr>
      </w:pPr>
    </w:p>
    <w:bookmarkEnd w:id="3"/>
    <w:bookmarkEnd w:id="4"/>
    <w:p w14:paraId="15197007">
      <w:pPr>
        <w:pStyle w:val="6"/>
        <w:numPr>
          <w:ilvl w:val="0"/>
          <w:numId w:val="0"/>
        </w:numPr>
        <w:spacing w:line="360" w:lineRule="auto"/>
        <w:outlineLvl w:val="1"/>
        <w:rPr>
          <w:rFonts w:hint="eastAsia" w:cs="宋体"/>
          <w:b/>
          <w:bCs/>
          <w:color w:val="auto"/>
        </w:rPr>
      </w:pPr>
      <w:bookmarkStart w:id="6" w:name="_Toc52165083"/>
      <w:bookmarkStart w:id="7" w:name="_Toc50737331"/>
      <w:bookmarkStart w:id="8" w:name="_Toc50736479"/>
      <w:bookmarkStart w:id="9" w:name="_Toc50737293"/>
      <w:bookmarkStart w:id="10" w:name="_Toc50737299"/>
      <w:bookmarkStart w:id="11" w:name="_Toc76354927"/>
      <w:bookmarkStart w:id="12" w:name="_Toc50691040"/>
      <w:bookmarkStart w:id="13" w:name="_Toc50736473"/>
      <w:bookmarkStart w:id="14" w:name="_Toc52165077"/>
      <w:bookmarkStart w:id="15" w:name="_Toc76354921"/>
      <w:bookmarkStart w:id="16" w:name="_Toc50737325"/>
      <w:bookmarkStart w:id="17" w:name="_Toc50691028"/>
      <w:r>
        <w:rPr>
          <w:rFonts w:hint="eastAsia" w:ascii="宋体" w:hAnsi="宋体" w:cs="宋体" w:eastAsiaTheme="minorEastAsia"/>
          <w:b/>
          <w:bCs/>
          <w:color w:val="auto"/>
          <w:kern w:val="0"/>
          <w:sz w:val="28"/>
          <w:szCs w:val="28"/>
          <w:lang w:val="en-US" w:eastAsia="zh-CN" w:bidi="ar-SA"/>
        </w:rPr>
        <w:t>格式</w:t>
      </w:r>
      <w:r>
        <w:rPr>
          <w:rFonts w:hint="eastAsia" w:ascii="宋体" w:hAnsi="宋体" w:cs="宋体"/>
          <w:b/>
          <w:bCs/>
          <w:color w:val="auto"/>
          <w:kern w:val="0"/>
          <w:sz w:val="28"/>
          <w:szCs w:val="28"/>
          <w:lang w:val="en-US" w:eastAsia="zh-CN" w:bidi="ar-SA"/>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lang w:eastAsia="zh-CN"/>
        </w:rPr>
        <w:t>广东江门幼儿师范高等专科学校</w:t>
      </w:r>
      <w:r>
        <w:rPr>
          <w:rFonts w:hint="eastAsia" w:ascii="宋体" w:hAnsi="宋体" w:cs="宋体"/>
          <w:color w:val="auto"/>
        </w:rPr>
        <w:t>：</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w:t>
      </w:r>
      <w:r>
        <w:rPr>
          <w:rFonts w:hint="eastAsia" w:ascii="Times New Roman" w:hAnsi="Times New Roman"/>
          <w:sz w:val="24"/>
          <w:szCs w:val="24"/>
          <w:lang w:eastAsia="zh-CN"/>
        </w:rPr>
        <w:t>、</w:t>
      </w:r>
      <w:r>
        <w:rPr>
          <w:rFonts w:ascii="Times New Roman" w:hAnsi="Times New Roman"/>
          <w:sz w:val="24"/>
          <w:szCs w:val="24"/>
        </w:rPr>
        <w:t>没有因而被有关部门警告或处分的记录</w:t>
      </w:r>
      <w:r>
        <w:rPr>
          <w:rFonts w:hint="eastAsia" w:ascii="Times New Roman" w:hAnsi="Times New Roman"/>
          <w:sz w:val="24"/>
          <w:szCs w:val="24"/>
          <w:lang w:eastAsia="zh-CN"/>
        </w:rPr>
        <w:t>、</w:t>
      </w:r>
      <w:r>
        <w:rPr>
          <w:rFonts w:hint="eastAsia" w:ascii="Times New Roman" w:hAnsi="Times New Roman"/>
          <w:sz w:val="24"/>
          <w:szCs w:val="24"/>
        </w:rPr>
        <w:t>无重大卫生安全事故及服务纠纷记录</w:t>
      </w:r>
      <w:r>
        <w:rPr>
          <w:rFonts w:ascii="Times New Roman" w:hAnsi="Times New Roman"/>
          <w:sz w:val="24"/>
          <w:szCs w:val="24"/>
        </w:rPr>
        <w:t>。</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0"/>
        </w:numPr>
        <w:spacing w:line="360" w:lineRule="auto"/>
        <w:ind w:left="420" w:leftChars="0" w:hanging="420" w:firstLineChars="0"/>
        <w:outlineLvl w:val="1"/>
        <w:rPr>
          <w:rFonts w:hint="eastAsia" w:ascii="宋体" w:hAnsi="宋体" w:cs="宋体"/>
          <w:b/>
          <w:bCs/>
          <w:color w:val="auto"/>
        </w:rPr>
      </w:pPr>
      <w:r>
        <w:rPr>
          <w:rFonts w:ascii="宋体" w:hAnsi="宋体" w:cs="宋体"/>
          <w:color w:val="auto"/>
        </w:rPr>
        <w:br w:type="page"/>
      </w:r>
      <w:bookmarkStart w:id="18" w:name="_Toc50691029"/>
      <w:bookmarkStart w:id="19" w:name="_Toc43264516"/>
      <w:bookmarkStart w:id="20" w:name="_Toc50703722"/>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格式4：</w:t>
      </w:r>
      <w:r>
        <w:rPr>
          <w:rFonts w:hint="eastAsia" w:ascii="宋体" w:hAnsi="宋体" w:cs="宋体" w:eastAsiaTheme="minorEastAsia"/>
          <w:b/>
          <w:bCs/>
          <w:color w:val="auto"/>
          <w:kern w:val="2"/>
          <w:sz w:val="24"/>
          <w:szCs w:val="24"/>
          <w:lang w:val="en-US" w:eastAsia="zh-CN" w:bidi="ar-SA"/>
        </w:rPr>
        <w:t>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0"/>
        </w:numPr>
        <w:spacing w:line="360" w:lineRule="auto"/>
        <w:ind w:left="420" w:leftChars="0" w:hanging="420" w:firstLineChars="0"/>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格式</w:t>
      </w:r>
      <w:r>
        <w:rPr>
          <w:rFonts w:hint="eastAsia" w:ascii="宋体" w:hAnsi="宋体" w:cs="宋体"/>
          <w:b/>
          <w:bCs/>
          <w:color w:val="auto"/>
          <w:kern w:val="2"/>
          <w:sz w:val="24"/>
          <w:szCs w:val="24"/>
          <w:lang w:val="en-US" w:eastAsia="zh-CN" w:bidi="ar-SA"/>
        </w:rPr>
        <w:t>5：</w:t>
      </w: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0"/>
        </w:numPr>
        <w:spacing w:line="360" w:lineRule="auto"/>
        <w:ind w:left="420" w:leftChars="0" w:hanging="420" w:firstLineChars="0"/>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格式</w:t>
      </w:r>
      <w:r>
        <w:rPr>
          <w:rFonts w:hint="eastAsia" w:ascii="宋体" w:hAnsi="宋体" w:cs="宋体"/>
          <w:b/>
          <w:bCs/>
          <w:color w:val="auto"/>
          <w:kern w:val="2"/>
          <w:sz w:val="24"/>
          <w:szCs w:val="24"/>
          <w:lang w:val="en-US" w:eastAsia="zh-CN" w:bidi="ar-SA"/>
        </w:rPr>
        <w:t>6:</w:t>
      </w: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2" w:name="_Toc385940905"/>
    </w:p>
    <w:bookmarkEnd w:id="22"/>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7"/>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3858"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022"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439"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3858" w:type="dxa"/>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lang w:val="zh-CN"/>
              </w:rPr>
            </w:pPr>
            <w:r>
              <w:rPr>
                <w:rFonts w:hint="eastAsia" w:ascii="宋体" w:hAnsi="宋体" w:cs="宋体"/>
                <w:lang w:val="en-US" w:eastAsia="zh-CN"/>
              </w:rPr>
              <w:t>快洗</w:t>
            </w:r>
          </w:p>
        </w:tc>
        <w:tc>
          <w:tcPr>
            <w:tcW w:w="1022" w:type="dxa"/>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eastAsiaTheme="minorEastAsia"/>
                <w:szCs w:val="21"/>
                <w:lang w:val="en-US" w:eastAsia="zh-CN"/>
              </w:rPr>
            </w:pPr>
            <w:r>
              <w:rPr>
                <w:rFonts w:hint="eastAsia" w:ascii="宋体" w:hAnsi="宋体" w:cs="宋体"/>
              </w:rPr>
              <w:t>1</w:t>
            </w:r>
            <w:r>
              <w:rPr>
                <w:rFonts w:hint="eastAsia" w:ascii="宋体" w:hAnsi="宋体" w:cs="宋体"/>
                <w:lang w:eastAsia="zh-CN"/>
              </w:rPr>
              <w:t>次</w:t>
            </w:r>
          </w:p>
        </w:tc>
        <w:tc>
          <w:tcPr>
            <w:tcW w:w="3439" w:type="dxa"/>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r w14:paraId="1EC03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3858" w:type="dxa"/>
            <w:noWrap w:val="0"/>
            <w:vAlign w:val="center"/>
          </w:tcPr>
          <w:p w14:paraId="104BBFDB">
            <w:pPr>
              <w:tabs>
                <w:tab w:val="right" w:leader="dot" w:pos="9628"/>
              </w:tabs>
              <w:autoSpaceDE w:val="0"/>
              <w:autoSpaceDN w:val="0"/>
              <w:adjustRightInd w:val="0"/>
              <w:spacing w:line="360" w:lineRule="auto"/>
              <w:jc w:val="center"/>
              <w:rPr>
                <w:rFonts w:hint="eastAsia" w:ascii="宋体" w:hAnsi="宋体" w:cs="宋体"/>
                <w:lang w:val="en-US" w:eastAsia="zh-CN"/>
              </w:rPr>
            </w:pPr>
            <w:r>
              <w:rPr>
                <w:rFonts w:hint="eastAsia" w:ascii="宋体" w:hAnsi="宋体" w:cs="宋体"/>
                <w:lang w:val="en-US" w:eastAsia="zh-CN"/>
              </w:rPr>
              <w:t>标准洗</w:t>
            </w:r>
          </w:p>
        </w:tc>
        <w:tc>
          <w:tcPr>
            <w:tcW w:w="1022" w:type="dxa"/>
            <w:noWrap w:val="0"/>
            <w:vAlign w:val="center"/>
          </w:tcPr>
          <w:p w14:paraId="04E93061">
            <w:pPr>
              <w:tabs>
                <w:tab w:val="right" w:leader="dot" w:pos="9628"/>
              </w:tabs>
              <w:autoSpaceDE w:val="0"/>
              <w:autoSpaceDN w:val="0"/>
              <w:adjustRightInd w:val="0"/>
              <w:spacing w:line="360" w:lineRule="auto"/>
              <w:jc w:val="center"/>
              <w:rPr>
                <w:rFonts w:hint="eastAsia" w:ascii="宋体" w:hAnsi="宋体" w:cs="宋体"/>
              </w:rPr>
            </w:pPr>
            <w:r>
              <w:rPr>
                <w:rFonts w:hint="eastAsia" w:ascii="宋体" w:hAnsi="宋体" w:cs="宋体"/>
              </w:rPr>
              <w:t>1</w:t>
            </w:r>
            <w:r>
              <w:rPr>
                <w:rFonts w:hint="eastAsia" w:ascii="宋体" w:hAnsi="宋体" w:cs="宋体"/>
                <w:lang w:eastAsia="zh-CN"/>
              </w:rPr>
              <w:t>次</w:t>
            </w:r>
          </w:p>
        </w:tc>
        <w:tc>
          <w:tcPr>
            <w:tcW w:w="3439" w:type="dxa"/>
            <w:noWrap w:val="0"/>
            <w:vAlign w:val="center"/>
          </w:tcPr>
          <w:p w14:paraId="64F2DDCD">
            <w:pPr>
              <w:spacing w:line="360" w:lineRule="auto"/>
              <w:jc w:val="center"/>
              <w:rPr>
                <w:rFonts w:hint="eastAsia" w:ascii="宋体" w:hAnsi="宋体" w:cs="宋体"/>
                <w:szCs w:val="21"/>
                <w:u w:val="single"/>
                <w:lang w:val="zh-CN"/>
              </w:rPr>
            </w:pPr>
            <w:r>
              <w:rPr>
                <w:rFonts w:hint="eastAsia" w:ascii="宋体" w:hAnsi="宋体" w:cs="宋体"/>
                <w:szCs w:val="21"/>
                <w:u w:val="single"/>
                <w:lang w:val="zh-CN"/>
              </w:rPr>
              <w:t xml:space="preserve">       </w:t>
            </w:r>
            <w:r>
              <w:rPr>
                <w:rFonts w:hint="eastAsia" w:ascii="宋体" w:hAnsi="宋体" w:cs="宋体"/>
                <w:szCs w:val="21"/>
                <w:lang w:val="zh-CN"/>
              </w:rPr>
              <w:t>元</w:t>
            </w:r>
          </w:p>
        </w:tc>
      </w:tr>
      <w:tr w14:paraId="3827F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3858" w:type="dxa"/>
            <w:noWrap w:val="0"/>
            <w:vAlign w:val="center"/>
          </w:tcPr>
          <w:p w14:paraId="5D41B41C">
            <w:pPr>
              <w:tabs>
                <w:tab w:val="right" w:leader="dot" w:pos="9628"/>
              </w:tabs>
              <w:autoSpaceDE w:val="0"/>
              <w:autoSpaceDN w:val="0"/>
              <w:adjustRightInd w:val="0"/>
              <w:spacing w:line="360" w:lineRule="auto"/>
              <w:jc w:val="center"/>
              <w:rPr>
                <w:rFonts w:hint="eastAsia" w:ascii="宋体" w:hAnsi="宋体" w:cs="宋体"/>
                <w:lang w:val="en-US" w:eastAsia="zh-CN"/>
              </w:rPr>
            </w:pPr>
            <w:r>
              <w:rPr>
                <w:rFonts w:hint="eastAsia" w:ascii="宋体" w:hAnsi="宋体" w:cs="宋体"/>
                <w:lang w:val="en-US" w:eastAsia="zh-CN"/>
              </w:rPr>
              <w:t>大件洗</w:t>
            </w:r>
          </w:p>
        </w:tc>
        <w:tc>
          <w:tcPr>
            <w:tcW w:w="1022" w:type="dxa"/>
            <w:noWrap w:val="0"/>
            <w:vAlign w:val="center"/>
          </w:tcPr>
          <w:p w14:paraId="059A978F">
            <w:pPr>
              <w:tabs>
                <w:tab w:val="right" w:leader="dot" w:pos="9628"/>
              </w:tabs>
              <w:autoSpaceDE w:val="0"/>
              <w:autoSpaceDN w:val="0"/>
              <w:adjustRightInd w:val="0"/>
              <w:spacing w:line="360" w:lineRule="auto"/>
              <w:jc w:val="center"/>
              <w:rPr>
                <w:rFonts w:hint="eastAsia" w:ascii="宋体" w:hAnsi="宋体" w:cs="宋体"/>
              </w:rPr>
            </w:pPr>
            <w:r>
              <w:rPr>
                <w:rFonts w:hint="eastAsia" w:ascii="宋体" w:hAnsi="宋体" w:cs="宋体"/>
              </w:rPr>
              <w:t>1</w:t>
            </w:r>
            <w:r>
              <w:rPr>
                <w:rFonts w:hint="eastAsia" w:ascii="宋体" w:hAnsi="宋体" w:cs="宋体"/>
                <w:lang w:eastAsia="zh-CN"/>
              </w:rPr>
              <w:t>次</w:t>
            </w:r>
          </w:p>
        </w:tc>
        <w:tc>
          <w:tcPr>
            <w:tcW w:w="3439" w:type="dxa"/>
            <w:noWrap w:val="0"/>
            <w:vAlign w:val="center"/>
          </w:tcPr>
          <w:p w14:paraId="62157430">
            <w:pPr>
              <w:spacing w:line="360" w:lineRule="auto"/>
              <w:jc w:val="center"/>
              <w:rPr>
                <w:rFonts w:hint="eastAsia" w:ascii="宋体" w:hAnsi="宋体" w:cs="宋体"/>
                <w:szCs w:val="21"/>
                <w:u w:val="single"/>
                <w:lang w:val="zh-CN"/>
              </w:rPr>
            </w:pPr>
            <w:r>
              <w:rPr>
                <w:rFonts w:hint="eastAsia" w:ascii="宋体" w:hAnsi="宋体" w:cs="宋体"/>
                <w:szCs w:val="21"/>
                <w:u w:val="single"/>
                <w:lang w:val="zh-CN"/>
              </w:rPr>
              <w:t xml:space="preserve">       </w:t>
            </w:r>
            <w:r>
              <w:rPr>
                <w:rFonts w:hint="eastAsia" w:ascii="宋体" w:hAnsi="宋体" w:cs="宋体"/>
                <w:szCs w:val="21"/>
                <w:lang w:val="zh-CN"/>
              </w:rPr>
              <w:t>元</w:t>
            </w:r>
          </w:p>
        </w:tc>
      </w:tr>
      <w:tr w14:paraId="0F48A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3858" w:type="dxa"/>
            <w:noWrap w:val="0"/>
            <w:vAlign w:val="center"/>
          </w:tcPr>
          <w:p w14:paraId="30F9F893">
            <w:pPr>
              <w:tabs>
                <w:tab w:val="right" w:leader="dot" w:pos="9628"/>
              </w:tabs>
              <w:autoSpaceDE w:val="0"/>
              <w:autoSpaceDN w:val="0"/>
              <w:adjustRightInd w:val="0"/>
              <w:spacing w:line="360" w:lineRule="auto"/>
              <w:jc w:val="center"/>
              <w:rPr>
                <w:rFonts w:hint="eastAsia" w:ascii="宋体" w:hAnsi="宋体" w:cs="宋体"/>
                <w:lang w:val="en-US" w:eastAsia="zh-CN"/>
              </w:rPr>
            </w:pPr>
            <w:r>
              <w:rPr>
                <w:rFonts w:hint="eastAsia" w:ascii="宋体" w:hAnsi="宋体" w:cs="宋体"/>
                <w:lang w:val="en-US" w:eastAsia="zh-CN"/>
              </w:rPr>
              <w:t>净脱水</w:t>
            </w:r>
          </w:p>
        </w:tc>
        <w:tc>
          <w:tcPr>
            <w:tcW w:w="1022" w:type="dxa"/>
            <w:noWrap w:val="0"/>
            <w:vAlign w:val="center"/>
          </w:tcPr>
          <w:p w14:paraId="75BFE1D6">
            <w:pPr>
              <w:tabs>
                <w:tab w:val="right" w:leader="dot" w:pos="9628"/>
              </w:tabs>
              <w:autoSpaceDE w:val="0"/>
              <w:autoSpaceDN w:val="0"/>
              <w:adjustRightInd w:val="0"/>
              <w:spacing w:line="360" w:lineRule="auto"/>
              <w:jc w:val="center"/>
              <w:rPr>
                <w:rFonts w:hint="eastAsia" w:ascii="宋体" w:hAnsi="宋体" w:cs="宋体"/>
              </w:rPr>
            </w:pPr>
            <w:r>
              <w:rPr>
                <w:rFonts w:hint="eastAsia" w:ascii="宋体" w:hAnsi="宋体" w:cs="宋体"/>
              </w:rPr>
              <w:t>1</w:t>
            </w:r>
            <w:r>
              <w:rPr>
                <w:rFonts w:hint="eastAsia" w:ascii="宋体" w:hAnsi="宋体" w:cs="宋体"/>
                <w:lang w:eastAsia="zh-CN"/>
              </w:rPr>
              <w:t>次</w:t>
            </w:r>
          </w:p>
        </w:tc>
        <w:tc>
          <w:tcPr>
            <w:tcW w:w="3439" w:type="dxa"/>
            <w:noWrap w:val="0"/>
            <w:vAlign w:val="center"/>
          </w:tcPr>
          <w:p w14:paraId="06DFDF4D">
            <w:pPr>
              <w:spacing w:line="360" w:lineRule="auto"/>
              <w:jc w:val="center"/>
              <w:rPr>
                <w:rFonts w:hint="eastAsia" w:ascii="宋体" w:hAnsi="宋体" w:cs="宋体"/>
                <w:szCs w:val="21"/>
                <w:u w:val="single"/>
                <w:lang w:val="zh-CN"/>
              </w:rPr>
            </w:pPr>
            <w:r>
              <w:rPr>
                <w:rFonts w:hint="eastAsia" w:ascii="宋体" w:hAnsi="宋体" w:cs="宋体"/>
                <w:szCs w:val="21"/>
                <w:u w:val="single"/>
                <w:lang w:val="zh-CN"/>
              </w:rPr>
              <w:t xml:space="preserve">       </w:t>
            </w:r>
            <w:r>
              <w:rPr>
                <w:rFonts w:hint="eastAsia" w:ascii="宋体" w:hAnsi="宋体" w:cs="宋体"/>
                <w:szCs w:val="21"/>
                <w:lang w:val="zh-CN"/>
              </w:rPr>
              <w:t>元</w:t>
            </w:r>
          </w:p>
        </w:tc>
      </w:tr>
      <w:tr w14:paraId="45FC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880" w:type="dxa"/>
            <w:gridSpan w:val="2"/>
            <w:tcBorders>
              <w:bottom w:val="single" w:color="auto" w:sz="4" w:space="0"/>
            </w:tcBorders>
            <w:noWrap w:val="0"/>
            <w:vAlign w:val="center"/>
          </w:tcPr>
          <w:p w14:paraId="759125DB">
            <w:pPr>
              <w:tabs>
                <w:tab w:val="right" w:leader="dot" w:pos="9628"/>
              </w:tabs>
              <w:autoSpaceDE w:val="0"/>
              <w:autoSpaceDN w:val="0"/>
              <w:adjustRightInd w:val="0"/>
              <w:spacing w:line="360" w:lineRule="auto"/>
              <w:jc w:val="center"/>
              <w:rPr>
                <w:rFonts w:hint="eastAsia" w:ascii="宋体" w:hAnsi="宋体" w:cs="宋体" w:eastAsiaTheme="minorEastAsia"/>
                <w:lang w:eastAsia="zh-CN"/>
              </w:rPr>
            </w:pPr>
            <w:r>
              <w:rPr>
                <w:rFonts w:hint="eastAsia" w:ascii="宋体" w:hAnsi="宋体" w:cs="宋体"/>
                <w:lang w:eastAsia="zh-CN"/>
              </w:rPr>
              <w:t>合计</w:t>
            </w:r>
          </w:p>
        </w:tc>
        <w:tc>
          <w:tcPr>
            <w:tcW w:w="3439" w:type="dxa"/>
            <w:tcBorders>
              <w:bottom w:val="single" w:color="auto" w:sz="4" w:space="0"/>
            </w:tcBorders>
            <w:noWrap w:val="0"/>
            <w:vAlign w:val="center"/>
          </w:tcPr>
          <w:p w14:paraId="5BE4E859">
            <w:pPr>
              <w:spacing w:line="360" w:lineRule="auto"/>
              <w:jc w:val="center"/>
              <w:rPr>
                <w:rFonts w:hint="eastAsia" w:ascii="宋体" w:hAnsi="宋体" w:cs="宋体"/>
                <w:szCs w:val="21"/>
                <w:u w:val="single"/>
                <w:lang w:val="zh-CN"/>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830" w:firstLineChars="230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0"/>
        </w:numPr>
        <w:spacing w:line="360" w:lineRule="auto"/>
        <w:ind w:left="420" w:leftChars="0" w:hanging="420" w:firstLineChars="0"/>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格式7：相关方案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jc w:val="center"/>
        <w:outlineLvl w:val="1"/>
        <w:rPr>
          <w:rFonts w:hint="eastAsia" w:ascii="宋体" w:hAnsi="宋体" w:cs="宋体"/>
          <w:b/>
          <w:bCs/>
          <w:color w:val="auto"/>
          <w:sz w:val="32"/>
          <w:szCs w:val="32"/>
          <w:lang w:eastAsia="zh-CN"/>
        </w:rPr>
      </w:pPr>
      <w:bookmarkStart w:id="23" w:name="_Toc50737294"/>
      <w:bookmarkStart w:id="24" w:name="_Toc50736474"/>
      <w:bookmarkStart w:id="25" w:name="_Toc52165078"/>
      <w:bookmarkStart w:id="26" w:name="_Toc50691030"/>
      <w:bookmarkStart w:id="27" w:name="_Toc50737326"/>
      <w:bookmarkStart w:id="28" w:name="_Toc76354922"/>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整体安排等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rPr>
        <w:t>运营方案</w:t>
      </w:r>
      <w:r>
        <w:rPr>
          <w:rFonts w:hint="eastAsia" w:eastAsia="宋体"/>
          <w:kern w:val="0"/>
          <w:sz w:val="24"/>
          <w:szCs w:val="24"/>
          <w:lang w:eastAsia="zh-CN"/>
        </w:rPr>
        <w:t>及案例</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rPr>
        <w:t>消毒方案及保障措施</w:t>
      </w:r>
      <w:r>
        <w:rPr>
          <w:rFonts w:eastAsia="宋体"/>
          <w:kern w:val="0"/>
          <w:sz w:val="24"/>
          <w:szCs w:val="24"/>
        </w:rPr>
        <w:t>。</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hint="eastAsia" w:eastAsia="宋体"/>
          <w:kern w:val="0"/>
          <w:sz w:val="24"/>
          <w:szCs w:val="24"/>
          <w:lang w:eastAsia="zh-CN"/>
        </w:rPr>
        <w:t>售后服务方案</w:t>
      </w:r>
      <w:r>
        <w:rPr>
          <w:rFonts w:eastAsia="宋体"/>
          <w:kern w:val="0"/>
          <w:sz w:val="24"/>
          <w:szCs w:val="24"/>
        </w:rPr>
        <w:t>。</w:t>
      </w: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23954CB8">
      <w:pPr>
        <w:pStyle w:val="6"/>
        <w:numPr>
          <w:ilvl w:val="0"/>
          <w:numId w:val="0"/>
        </w:numPr>
        <w:spacing w:line="360" w:lineRule="auto"/>
        <w:ind w:left="420" w:leftChars="0" w:hanging="420" w:firstLineChars="0"/>
        <w:outlineLvl w:val="1"/>
        <w:rPr>
          <w:rFonts w:hint="eastAsia" w:ascii="宋体" w:hAnsi="宋体" w:cs="宋体"/>
          <w:b/>
          <w:bCs/>
          <w:color w:val="auto"/>
        </w:rPr>
      </w:pPr>
      <w:r>
        <w:rPr>
          <w:rFonts w:hint="eastAsia" w:ascii="宋体" w:hAnsi="宋体" w:cs="宋体"/>
          <w:b/>
          <w:bCs/>
          <w:color w:val="auto"/>
        </w:rPr>
        <w:br w:type="page"/>
      </w:r>
      <w:bookmarkEnd w:id="23"/>
      <w:bookmarkEnd w:id="24"/>
      <w:bookmarkEnd w:id="25"/>
      <w:bookmarkEnd w:id="26"/>
      <w:bookmarkEnd w:id="27"/>
      <w:bookmarkEnd w:id="28"/>
      <w:bookmarkStart w:id="29" w:name="_Toc43264518"/>
      <w:r>
        <w:rPr>
          <w:rFonts w:hint="eastAsia" w:ascii="宋体" w:hAnsi="宋体" w:cs="宋体" w:eastAsiaTheme="minorEastAsia"/>
          <w:b/>
          <w:bCs/>
          <w:color w:val="auto"/>
          <w:kern w:val="2"/>
          <w:sz w:val="24"/>
          <w:szCs w:val="24"/>
          <w:lang w:val="en-US" w:eastAsia="zh-CN" w:bidi="ar-SA"/>
        </w:rPr>
        <w:t>格式</w:t>
      </w:r>
      <w:r>
        <w:rPr>
          <w:rFonts w:hint="eastAsia" w:ascii="宋体" w:hAnsi="宋体" w:cs="宋体"/>
          <w:b/>
          <w:bCs/>
          <w:color w:val="auto"/>
          <w:kern w:val="2"/>
          <w:sz w:val="24"/>
          <w:szCs w:val="24"/>
          <w:lang w:val="en-US" w:eastAsia="zh-CN" w:bidi="ar-SA"/>
        </w:rPr>
        <w:t>8</w:t>
      </w:r>
      <w:r>
        <w:rPr>
          <w:rFonts w:hint="eastAsia" w:ascii="宋体" w:hAnsi="宋体" w:cs="宋体" w:eastAsiaTheme="minorEastAsia"/>
          <w:b/>
          <w:bCs/>
          <w:color w:val="auto"/>
          <w:kern w:val="2"/>
          <w:sz w:val="24"/>
          <w:szCs w:val="24"/>
          <w:lang w:val="en-US" w:eastAsia="zh-CN" w:bidi="ar-SA"/>
        </w:rPr>
        <w:t>：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29"/>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580C8-CC92-421C-B3A3-1F10D5281A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2C06AEC-B3E1-4793-BA10-DF90887CA3A6}"/>
  </w:font>
  <w:font w:name="方正公文小标宋">
    <w:panose1 w:val="02000500000000000000"/>
    <w:charset w:val="86"/>
    <w:family w:val="auto"/>
    <w:pitch w:val="default"/>
    <w:sig w:usb0="A00002BF" w:usb1="38CF7CFA" w:usb2="00000016" w:usb3="00000000" w:csb0="00040001" w:csb1="00000000"/>
    <w:embedRegular r:id="rId3" w:fontKey="{310E4686-3517-4604-B93C-8F35E976CCB8}"/>
  </w:font>
  <w:font w:name="仿宋">
    <w:panose1 w:val="02010609060101010101"/>
    <w:charset w:val="86"/>
    <w:family w:val="auto"/>
    <w:pitch w:val="default"/>
    <w:sig w:usb0="800002BF" w:usb1="38CF7CFA" w:usb2="00000016" w:usb3="00000000" w:csb0="00040001" w:csb1="00000000"/>
    <w:embedRegular r:id="rId4" w:fontKey="{6E4F0CE7-7B29-4078-8835-E9ADA8015694}"/>
  </w:font>
  <w:font w:name="华文中宋">
    <w:panose1 w:val="02010600040101010101"/>
    <w:charset w:val="86"/>
    <w:family w:val="auto"/>
    <w:pitch w:val="default"/>
    <w:sig w:usb0="00000287" w:usb1="080F0000" w:usb2="00000000" w:usb3="00000000" w:csb0="0004009F" w:csb1="DFD70000"/>
    <w:embedRegular r:id="rId5" w:fontKey="{91CAB7CC-3EAB-4773-8796-B72180A643F4}"/>
  </w:font>
  <w:font w:name="WPSEMBED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1DA88"/>
    <w:multiLevelType w:val="singleLevel"/>
    <w:tmpl w:val="C911DA88"/>
    <w:lvl w:ilvl="0" w:tentative="0">
      <w:start w:val="1"/>
      <w:numFmt w:val="decimal"/>
      <w:lvlText w:val="%1."/>
      <w:lvlJc w:val="left"/>
      <w:pPr>
        <w:tabs>
          <w:tab w:val="left" w:pos="312"/>
        </w:tabs>
      </w:pPr>
    </w:lvl>
  </w:abstractNum>
  <w:abstractNum w:abstractNumId="1">
    <w:nsid w:val="03A74DC9"/>
    <w:multiLevelType w:val="multilevel"/>
    <w:tmpl w:val="03A74DC9"/>
    <w:lvl w:ilvl="0" w:tentative="0">
      <w:start w:val="1"/>
      <w:numFmt w:val="japaneseCounting"/>
      <w:pStyle w:val="2"/>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CF32DE"/>
    <w:rsid w:val="01D408F4"/>
    <w:rsid w:val="021576DD"/>
    <w:rsid w:val="04902CB6"/>
    <w:rsid w:val="095B59D1"/>
    <w:rsid w:val="09D53A18"/>
    <w:rsid w:val="0A0E0525"/>
    <w:rsid w:val="0A7E1D45"/>
    <w:rsid w:val="0B7D02A4"/>
    <w:rsid w:val="0C485813"/>
    <w:rsid w:val="0D0A78C0"/>
    <w:rsid w:val="0F45665D"/>
    <w:rsid w:val="104F3F68"/>
    <w:rsid w:val="10A67900"/>
    <w:rsid w:val="145A112D"/>
    <w:rsid w:val="1542187A"/>
    <w:rsid w:val="16184DFC"/>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75A34C6"/>
    <w:rsid w:val="28364705"/>
    <w:rsid w:val="29A95F19"/>
    <w:rsid w:val="2A1252DF"/>
    <w:rsid w:val="2C3047F6"/>
    <w:rsid w:val="2ED31DB0"/>
    <w:rsid w:val="301D7787"/>
    <w:rsid w:val="316250E0"/>
    <w:rsid w:val="33B60F22"/>
    <w:rsid w:val="34963664"/>
    <w:rsid w:val="353A0493"/>
    <w:rsid w:val="36DE356B"/>
    <w:rsid w:val="3CB94393"/>
    <w:rsid w:val="3CDE029E"/>
    <w:rsid w:val="3F5A32C6"/>
    <w:rsid w:val="3F93711E"/>
    <w:rsid w:val="408015BC"/>
    <w:rsid w:val="40A87C03"/>
    <w:rsid w:val="445F3A72"/>
    <w:rsid w:val="452D1DC2"/>
    <w:rsid w:val="47FC5EDF"/>
    <w:rsid w:val="4A9974C4"/>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01049EB"/>
    <w:rsid w:val="718A5D23"/>
    <w:rsid w:val="73025CFD"/>
    <w:rsid w:val="77114867"/>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3">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4850</Words>
  <Characters>5024</Characters>
  <Lines>0</Lines>
  <Paragraphs>0</Paragraphs>
  <TotalTime>327</TotalTime>
  <ScaleCrop>false</ScaleCrop>
  <LinksUpToDate>false</LinksUpToDate>
  <CharactersWithSpaces>6450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2026-04-28T01:42:50Z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D7BF0E4C643B4007952CFC6A53195424_13</vt:lpwstr>
  </property>
  <property fmtid="{D5CDD505-2E9C-101B-9397-08002B2CF9AE}" pid="4" name="KSOTemplateDocerSaveRecord">
    <vt:lpwstr>eyJoZGlkIjoiNjc2YTYyYTgyYjcyNTRhMjFlNjJkYzRjNDdjNTBlOGQiLCJ1c2VySWQiOiIyMzkwNjk4NDMifQ==</vt:lpwstr>
  </property>
</Properties>
</file>